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both"/>
      </w:pPr>
      <w:r w:rsidDel="00000000" w:rsidR="00000000" w:rsidRPr="00000000">
        <w:rPr>
          <w:b w:val="1"/>
          <w:sz w:val="24"/>
          <w:szCs w:val="24"/>
          <w:rtl w:val="0"/>
        </w:rPr>
        <w:t xml:space="preserve">                                                         </w:t>
      </w:r>
      <w:r w:rsidDel="00000000" w:rsidR="00000000" w:rsidRPr="00000000">
        <w:rPr>
          <w:b w:val="1"/>
          <w:sz w:val="36"/>
          <w:szCs w:val="36"/>
          <w:rtl w:val="0"/>
        </w:rPr>
        <w:t xml:space="preserve"> RELAZIONE FINALE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                                   ATTIVITA’ </w:t>
      </w:r>
      <w:r w:rsidDel="00000000" w:rsidR="00000000" w:rsidRPr="00000000">
        <w:rPr>
          <w:b w:val="1"/>
          <w:sz w:val="24"/>
          <w:szCs w:val="24"/>
          <w:rtl w:val="0"/>
        </w:rPr>
        <w:t xml:space="preserve">CLASSI APERTE – ALUNNI DIVERSAMENTE ABILI</w:t>
      </w:r>
    </w:p>
    <w:p w:rsidR="00000000" w:rsidDel="00000000" w:rsidP="00000000" w:rsidRDefault="00000000" w:rsidRPr="00000000">
      <w:pPr>
        <w:spacing w:after="0" w:line="360" w:lineRule="auto"/>
        <w:contextualSpacing w:val="0"/>
        <w:jc w:val="both"/>
      </w:pPr>
      <w:r w:rsidDel="00000000" w:rsidR="00000000" w:rsidRPr="00000000">
        <w:rPr>
          <w:sz w:val="24"/>
          <w:szCs w:val="24"/>
          <w:rtl w:val="0"/>
        </w:rPr>
        <w:t xml:space="preserve">Nell’ambito della flessibilità del docente di sostegno, nel corso dell’anno scolastico 2015-2016, da novembre a maggio, sono state realizzate delle attività laboratoriali, finalizzate a potenziare le aree della comunicazione, dell’autonomia e della socializzazione degli alunni diversamente abili delle classi prime. I laboratori, organizzati alternativamente dalle docenti di sostegno, in base alle personali competenze disciplinari e trasversali, si sono svolti in orario curricolare per un’ora a settimana e hanno avuto come destinatari gli alunni delle classi prime. </w:t>
      </w:r>
    </w:p>
    <w:p w:rsidR="00000000" w:rsidDel="00000000" w:rsidP="00000000" w:rsidRDefault="00000000" w:rsidRPr="00000000">
      <w:pPr>
        <w:spacing w:after="0" w:line="360" w:lineRule="auto"/>
        <w:contextualSpacing w:val="0"/>
        <w:jc w:val="both"/>
      </w:pPr>
      <w:r w:rsidDel="00000000" w:rsidR="00000000" w:rsidRPr="00000000">
        <w:rPr>
          <w:sz w:val="24"/>
          <w:szCs w:val="24"/>
          <w:rtl w:val="0"/>
        </w:rPr>
        <w:t xml:space="preserve">Gli alunni hanno partecipato al dialogo educativo-didattico con interesse, accogliendo le indicazioni operative delle docenti e proponendo a loro volta integrazioni in base agli interessi personali. Sono stati quindi protagonisti dell’apprendimento, essendo impegnati direttamente nella realizzazione di oggetti, in giochi, disegni o discussioni guidate sulle diverse tematiche affrontate. Particolare entusiasmo ha riscosso l’uscita sul territorio presso il supermercato Decò, durante la quale gli alunni sono stati introdotti all’uso consapevole del denaro attraverso la realizzazione di una piccola spesa. Tutte le attività sono state monitorate con schede di analisi delle competenze raggiunte dagli alunni.</w:t>
      </w:r>
    </w:p>
    <w:p w:rsidR="00000000" w:rsidDel="00000000" w:rsidP="00000000" w:rsidRDefault="00000000" w:rsidRPr="00000000">
      <w:pPr>
        <w:spacing w:after="0" w:line="360" w:lineRule="auto"/>
        <w:contextualSpacing w:val="0"/>
        <w:jc w:val="both"/>
      </w:pPr>
      <w:r w:rsidDel="00000000" w:rsidR="00000000" w:rsidRPr="00000000">
        <w:rPr>
          <w:sz w:val="24"/>
          <w:szCs w:val="24"/>
          <w:rtl w:val="0"/>
        </w:rPr>
        <w:t xml:space="preserve"> Ovviamente ciascuno ha partecipato secondo le proprie capacità ma tutti hanno raggiunto gli obiettivi educativi generali previsti:</w:t>
      </w:r>
    </w:p>
    <w:p w:rsidR="00000000" w:rsidDel="00000000" w:rsidP="00000000" w:rsidRDefault="00000000" w:rsidRPr="00000000">
      <w:pPr>
        <w:spacing w:after="0" w:line="360" w:lineRule="auto"/>
        <w:contextualSpacing w:val="0"/>
        <w:jc w:val="both"/>
      </w:pPr>
      <w:r w:rsidDel="00000000" w:rsidR="00000000" w:rsidRPr="00000000">
        <w:rPr>
          <w:sz w:val="24"/>
          <w:szCs w:val="24"/>
          <w:rtl w:val="0"/>
        </w:rPr>
        <w:t xml:space="preserve">Migliorare la conoscenza di se  stessi;</w:t>
      </w:r>
    </w:p>
    <w:p w:rsidR="00000000" w:rsidDel="00000000" w:rsidP="00000000" w:rsidRDefault="00000000" w:rsidRPr="00000000">
      <w:pPr>
        <w:spacing w:after="0" w:line="360" w:lineRule="auto"/>
        <w:contextualSpacing w:val="0"/>
        <w:jc w:val="both"/>
      </w:pPr>
      <w:r w:rsidDel="00000000" w:rsidR="00000000" w:rsidRPr="00000000">
        <w:rPr>
          <w:sz w:val="24"/>
          <w:szCs w:val="24"/>
          <w:rtl w:val="0"/>
        </w:rPr>
        <w:t xml:space="preserve">imparare a collaborare;</w:t>
      </w:r>
    </w:p>
    <w:p w:rsidR="00000000" w:rsidDel="00000000" w:rsidP="00000000" w:rsidRDefault="00000000" w:rsidRPr="00000000">
      <w:pPr>
        <w:spacing w:after="0" w:line="360" w:lineRule="auto"/>
        <w:contextualSpacing w:val="0"/>
        <w:jc w:val="both"/>
      </w:pPr>
      <w:r w:rsidDel="00000000" w:rsidR="00000000" w:rsidRPr="00000000">
        <w:rPr>
          <w:sz w:val="24"/>
          <w:szCs w:val="24"/>
          <w:rtl w:val="0"/>
        </w:rPr>
        <w:t xml:space="preserve">potenziare le capacità comunicative; </w:t>
      </w:r>
    </w:p>
    <w:p w:rsidR="00000000" w:rsidDel="00000000" w:rsidP="00000000" w:rsidRDefault="00000000" w:rsidRPr="00000000">
      <w:pPr>
        <w:spacing w:after="0" w:line="360" w:lineRule="auto"/>
        <w:contextualSpacing w:val="0"/>
        <w:jc w:val="both"/>
      </w:pPr>
      <w:r w:rsidDel="00000000" w:rsidR="00000000" w:rsidRPr="00000000">
        <w:rPr>
          <w:sz w:val="24"/>
          <w:szCs w:val="24"/>
          <w:rtl w:val="0"/>
        </w:rPr>
        <w:t xml:space="preserve">potenziare l’autonomia personale e sociale.</w:t>
      </w:r>
    </w:p>
    <w:p w:rsidR="00000000" w:rsidDel="00000000" w:rsidP="00000000" w:rsidRDefault="00000000" w:rsidRPr="00000000">
      <w:pPr>
        <w:spacing w:after="0" w:line="360" w:lineRule="auto"/>
        <w:contextualSpacing w:val="0"/>
        <w:jc w:val="both"/>
      </w:pPr>
      <w:r w:rsidDel="00000000" w:rsidR="00000000" w:rsidRPr="00000000">
        <w:rPr>
          <w:rtl w:val="0"/>
        </w:rPr>
      </w:r>
    </w:p>
    <w:p w:rsidR="00000000" w:rsidDel="00000000" w:rsidP="00000000" w:rsidRDefault="00000000" w:rsidRPr="00000000">
      <w:pPr>
        <w:spacing w:after="0" w:line="360" w:lineRule="auto"/>
        <w:contextualSpacing w:val="0"/>
        <w:jc w:val="both"/>
      </w:pPr>
      <w:r w:rsidDel="00000000" w:rsidR="00000000" w:rsidRPr="00000000">
        <w:rPr>
          <w:sz w:val="24"/>
          <w:szCs w:val="24"/>
          <w:rtl w:val="0"/>
        </w:rPr>
        <w:t xml:space="preserve">          </w:t>
      </w:r>
    </w:p>
    <w:p w:rsidR="00000000" w:rsidDel="00000000" w:rsidP="00000000" w:rsidRDefault="00000000" w:rsidRPr="00000000">
      <w:pPr>
        <w:spacing w:after="0" w:line="360" w:lineRule="auto"/>
        <w:contextualSpacing w:val="0"/>
        <w:jc w:val="both"/>
      </w:pPr>
      <w:r w:rsidDel="00000000" w:rsidR="00000000" w:rsidRPr="00000000">
        <w:rPr>
          <w:rtl w:val="0"/>
        </w:rPr>
      </w:r>
    </w:p>
    <w:p w:rsidR="00000000" w:rsidDel="00000000" w:rsidP="00000000" w:rsidRDefault="00000000" w:rsidRPr="00000000">
      <w:pPr>
        <w:spacing w:after="0" w:line="360" w:lineRule="auto"/>
        <w:contextualSpacing w:val="0"/>
        <w:jc w:val="both"/>
      </w:pPr>
      <w:r w:rsidDel="00000000" w:rsidR="00000000" w:rsidRPr="00000000">
        <w:rPr>
          <w:sz w:val="24"/>
          <w:szCs w:val="24"/>
          <w:rtl w:val="0"/>
        </w:rPr>
        <w:t xml:space="preserve">            </w:t>
      </w:r>
    </w:p>
    <w:p w:rsidR="00000000" w:rsidDel="00000000" w:rsidP="00000000" w:rsidRDefault="00000000" w:rsidRPr="00000000">
      <w:pPr>
        <w:spacing w:after="0" w:line="360" w:lineRule="auto"/>
        <w:contextualSpacing w:val="0"/>
        <w:jc w:val="both"/>
      </w:pPr>
      <w:r w:rsidDel="00000000" w:rsidR="00000000" w:rsidRPr="00000000">
        <w:rPr>
          <w:rtl w:val="0"/>
        </w:rPr>
      </w:r>
    </w:p>
    <w:p w:rsidR="00000000" w:rsidDel="00000000" w:rsidP="00000000" w:rsidRDefault="00000000" w:rsidRPr="00000000">
      <w:pPr>
        <w:spacing w:after="0" w:line="360" w:lineRule="auto"/>
        <w:contextualSpacing w:val="0"/>
        <w:jc w:val="both"/>
      </w:pPr>
      <w:r w:rsidDel="00000000" w:rsidR="00000000" w:rsidRPr="00000000">
        <w:rPr>
          <w:rtl w:val="0"/>
        </w:rPr>
      </w:r>
    </w:p>
    <w:p w:rsidR="00000000" w:rsidDel="00000000" w:rsidP="00000000" w:rsidRDefault="00000000" w:rsidRPr="00000000">
      <w:pPr>
        <w:spacing w:after="0" w:line="360" w:lineRule="auto"/>
        <w:contextualSpacing w:val="0"/>
        <w:jc w:val="both"/>
      </w:pPr>
      <w:r w:rsidDel="00000000" w:rsidR="00000000" w:rsidRPr="00000000">
        <w:rPr>
          <w:rtl w:val="0"/>
        </w:rPr>
      </w:r>
    </w:p>
    <w:p w:rsidR="00000000" w:rsidDel="00000000" w:rsidP="00000000" w:rsidRDefault="00000000" w:rsidRPr="00000000">
      <w:pPr>
        <w:spacing w:after="0" w:line="360" w:lineRule="auto"/>
        <w:contextualSpacing w:val="0"/>
        <w:jc w:val="both"/>
      </w:pPr>
      <w:r w:rsidDel="00000000" w:rsidR="00000000" w:rsidRPr="00000000">
        <w:rPr>
          <w:rtl w:val="0"/>
        </w:rPr>
      </w:r>
    </w:p>
    <w:p w:rsidR="00000000" w:rsidDel="00000000" w:rsidP="00000000" w:rsidRDefault="00000000" w:rsidRPr="00000000">
      <w:pPr>
        <w:spacing w:after="0" w:line="360" w:lineRule="auto"/>
        <w:contextualSpacing w:val="0"/>
        <w:jc w:val="both"/>
      </w:pPr>
      <w:r w:rsidDel="00000000" w:rsidR="00000000" w:rsidRPr="00000000">
        <w:rPr>
          <w:rtl w:val="0"/>
        </w:rPr>
      </w:r>
    </w:p>
    <w:tbl>
      <w:tblPr>
        <w:tblStyle w:val="Table1"/>
        <w:bidi w:val="0"/>
        <w:tblW w:w="896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6"/>
        <w:gridCol w:w="6630"/>
        <w:tblGridChange w:id="0">
          <w:tblGrid>
            <w:gridCol w:w="2336"/>
            <w:gridCol w:w="6630"/>
          </w:tblGrid>
        </w:tblGridChange>
      </w:tblGrid>
      <w:tr>
        <w:tc>
          <w:tcPr>
            <w:shd w:fill="f7cbac"/>
          </w:tcPr>
          <w:p w:rsidR="00000000" w:rsidDel="00000000" w:rsidP="00000000" w:rsidRDefault="00000000" w:rsidRPr="00000000">
            <w:pPr>
              <w:contextualSpacing w:val="0"/>
            </w:pPr>
            <w:r w:rsidDel="00000000" w:rsidR="00000000" w:rsidRPr="00000000">
              <w:rPr>
                <w:sz w:val="24"/>
                <w:szCs w:val="24"/>
                <w:rtl w:val="0"/>
              </w:rPr>
              <w:t xml:space="preserve">AREA </w:t>
            </w:r>
          </w:p>
        </w:tc>
        <w:tc>
          <w:tcPr>
            <w:shd w:fill="f7cbac"/>
          </w:tcPr>
          <w:p w:rsidR="00000000" w:rsidDel="00000000" w:rsidP="00000000" w:rsidRDefault="00000000" w:rsidRPr="00000000">
            <w:pPr>
              <w:contextualSpacing w:val="0"/>
            </w:pPr>
            <w:r w:rsidDel="00000000" w:rsidR="00000000" w:rsidRPr="00000000">
              <w:rPr>
                <w:sz w:val="24"/>
                <w:szCs w:val="24"/>
                <w:rtl w:val="0"/>
              </w:rPr>
              <w:t xml:space="preserve">ATTIVITA’ SVOLTE</w:t>
            </w:r>
          </w:p>
        </w:tc>
      </w:tr>
      <w:tr>
        <w:tc>
          <w:tcPr/>
          <w:p w:rsidR="00000000" w:rsidDel="00000000" w:rsidP="00000000" w:rsidRDefault="00000000" w:rsidRPr="00000000">
            <w:pPr>
              <w:contextualSpacing w:val="0"/>
            </w:pPr>
            <w:r w:rsidDel="00000000" w:rsidR="00000000" w:rsidRPr="00000000">
              <w:rPr>
                <w:sz w:val="24"/>
                <w:szCs w:val="24"/>
                <w:u w:val="single"/>
                <w:rtl w:val="0"/>
              </w:rPr>
              <w:t xml:space="preserve">AREA DELLA SOCIALIZZAZIONE </w:t>
            </w:r>
          </w:p>
        </w:tc>
        <w:tc>
          <w:tcPr/>
          <w:p w:rsidR="00000000" w:rsidDel="00000000" w:rsidP="00000000" w:rsidRDefault="00000000" w:rsidRPr="00000000">
            <w:pPr>
              <w:contextualSpacing w:val="0"/>
            </w:pPr>
            <w:r w:rsidDel="00000000" w:rsidR="00000000" w:rsidRPr="00000000">
              <w:rPr>
                <w:sz w:val="24"/>
                <w:szCs w:val="24"/>
                <w:rtl w:val="0"/>
              </w:rPr>
              <w:t xml:space="preserve">I giochi di una volta</w:t>
            </w:r>
          </w:p>
        </w:tc>
      </w:tr>
      <w:tr>
        <w:tc>
          <w:tcPr/>
          <w:p w:rsidR="00000000" w:rsidDel="00000000" w:rsidP="00000000" w:rsidRDefault="00000000" w:rsidRPr="00000000">
            <w:pPr>
              <w:contextualSpacing w:val="0"/>
            </w:pPr>
            <w:r w:rsidDel="00000000" w:rsidR="00000000" w:rsidRPr="00000000">
              <w:rPr>
                <w:sz w:val="24"/>
                <w:szCs w:val="24"/>
                <w:u w:val="single"/>
                <w:rtl w:val="0"/>
              </w:rPr>
              <w:t xml:space="preserve">AREA DELLA COMUNICAZIONE </w:t>
            </w:r>
          </w:p>
        </w:tc>
        <w:tc>
          <w:tcPr/>
          <w:p w:rsidR="00000000" w:rsidDel="00000000" w:rsidP="00000000" w:rsidRDefault="00000000" w:rsidRPr="00000000">
            <w:pPr>
              <w:contextualSpacing w:val="0"/>
            </w:pPr>
            <w:r w:rsidDel="00000000" w:rsidR="00000000" w:rsidRPr="00000000">
              <w:rPr>
                <w:sz w:val="24"/>
                <w:szCs w:val="24"/>
                <w:rtl w:val="0"/>
              </w:rPr>
              <w:t xml:space="preserve">Giochi e discussione guidata sulle emozioni</w:t>
            </w:r>
          </w:p>
        </w:tc>
      </w:tr>
      <w:tr>
        <w:tc>
          <w:tcPr/>
          <w:p w:rsidR="00000000" w:rsidDel="00000000" w:rsidP="00000000" w:rsidRDefault="00000000" w:rsidRPr="00000000">
            <w:pPr>
              <w:contextualSpacing w:val="0"/>
            </w:pPr>
            <w:r w:rsidDel="00000000" w:rsidR="00000000" w:rsidRPr="00000000">
              <w:rPr>
                <w:sz w:val="24"/>
                <w:szCs w:val="24"/>
                <w:u w:val="single"/>
                <w:rtl w:val="0"/>
              </w:rPr>
              <w:t xml:space="preserve">AREA DELLA COMUNICAZIONE</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Ascolto di musica e discussione sulle emozioni scaturite</w:t>
            </w:r>
          </w:p>
        </w:tc>
      </w:tr>
      <w:tr>
        <w:tc>
          <w:tcPr/>
          <w:p w:rsidR="00000000" w:rsidDel="00000000" w:rsidP="00000000" w:rsidRDefault="00000000" w:rsidRPr="00000000">
            <w:pPr>
              <w:contextualSpacing w:val="0"/>
            </w:pPr>
            <w:r w:rsidDel="00000000" w:rsidR="00000000" w:rsidRPr="00000000">
              <w:rPr>
                <w:sz w:val="24"/>
                <w:szCs w:val="24"/>
                <w:u w:val="single"/>
                <w:rtl w:val="0"/>
              </w:rPr>
              <w:t xml:space="preserve">AREA DELLA COMUNICAZIONE</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Tombola delle emozioni</w:t>
            </w:r>
          </w:p>
        </w:tc>
      </w:tr>
      <w:tr>
        <w:tc>
          <w:tcPr/>
          <w:p w:rsidR="00000000" w:rsidDel="00000000" w:rsidP="00000000" w:rsidRDefault="00000000" w:rsidRPr="00000000">
            <w:pPr>
              <w:contextualSpacing w:val="0"/>
            </w:pPr>
            <w:r w:rsidDel="00000000" w:rsidR="00000000" w:rsidRPr="00000000">
              <w:rPr>
                <w:sz w:val="24"/>
                <w:szCs w:val="24"/>
                <w:u w:val="single"/>
                <w:rtl w:val="0"/>
              </w:rPr>
              <w:t xml:space="preserve">AREA DELLA COMUNICAZIONE</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Laboratorio linguistico sulle emozioni: attività comunicative semplificate tramite pair work, cloze tests, role plays, mirati a produrre semplici messaggi in lingua straniera.</w:t>
            </w:r>
          </w:p>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sz w:val="24"/>
                <w:szCs w:val="24"/>
                <w:u w:val="single"/>
                <w:rtl w:val="0"/>
              </w:rPr>
              <w:t xml:space="preserve">AREA DELLA COMUNICAZIONE</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Laboratorio artistico: attività grafico-manuali conmateriale di vario genere.</w:t>
            </w:r>
          </w:p>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sz w:val="24"/>
                <w:szCs w:val="24"/>
                <w:u w:val="single"/>
                <w:rtl w:val="0"/>
              </w:rPr>
              <w:t xml:space="preserve">AREA DELLA COMUNICAZIONE</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Laboratorio musicale: conoscere e riconoscere voci e strumenti, riprodurre brevi frammenti vocali e strumentali; costruzione di strumenti musicali con materiali facilmente reperibili.</w:t>
            </w:r>
          </w:p>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sz w:val="24"/>
                <w:szCs w:val="24"/>
                <w:u w:val="single"/>
                <w:rtl w:val="0"/>
              </w:rPr>
              <w:t xml:space="preserve">AREA DELL’ AUTONOMIA</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Uscita didattica: uso del denaro per le spese quotidiane.</w:t>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spacing w:after="0" w:line="360" w:lineRule="auto"/>
        <w:contextualSpacing w:val="0"/>
        <w:jc w:val="both"/>
      </w:pPr>
      <w:r w:rsidDel="00000000" w:rsidR="00000000" w:rsidRPr="00000000">
        <w:rPr>
          <w:rtl w:val="0"/>
        </w:rPr>
      </w:r>
    </w:p>
    <w:sectPr>
      <w:pgSz w:h="16838" w:w="11906"/>
      <w:pgMar w:bottom="1134" w:top="1417"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