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71" w:rsidRDefault="003500D3">
      <w:r>
        <w:rPr>
          <w:noProof/>
          <w:lang w:eastAsia="it-IT"/>
        </w:rPr>
        <w:drawing>
          <wp:inline distT="0" distB="0" distL="0" distR="0">
            <wp:extent cx="1981200" cy="87639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46" cy="87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257425" cy="8763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41" w:rsidRPr="004A7E41" w:rsidRDefault="004A7E41" w:rsidP="004A7E41">
      <w:pPr>
        <w:pStyle w:val="Default"/>
        <w:rPr>
          <w:rFonts w:ascii="Times New Roman" w:hAnsi="Times New Roman" w:cs="Times New Roman"/>
        </w:rPr>
      </w:pPr>
      <w:r w:rsidRPr="004A7E41">
        <w:rPr>
          <w:rFonts w:ascii="Times New Roman" w:hAnsi="Times New Roman" w:cs="Times New Roman"/>
        </w:rPr>
        <w:t>Caserta 27/05/2017</w:t>
      </w:r>
    </w:p>
    <w:p w:rsidR="004A7E41" w:rsidRPr="004A7E41" w:rsidRDefault="004A7E41" w:rsidP="004A7E41">
      <w:pPr>
        <w:pStyle w:val="Default"/>
        <w:rPr>
          <w:rFonts w:ascii="Times New Roman" w:hAnsi="Times New Roman" w:cs="Times New Roman"/>
        </w:rPr>
      </w:pPr>
    </w:p>
    <w:p w:rsidR="004A7E41" w:rsidRPr="004A7E41" w:rsidRDefault="004A7E41" w:rsidP="004A7E41">
      <w:pPr>
        <w:pStyle w:val="Default"/>
        <w:rPr>
          <w:rFonts w:ascii="Times New Roman" w:hAnsi="Times New Roman" w:cs="Times New Roman"/>
        </w:rPr>
      </w:pPr>
      <w:r w:rsidRPr="004A7E41">
        <w:rPr>
          <w:rFonts w:ascii="Times New Roman" w:hAnsi="Times New Roman" w:cs="Times New Roman"/>
        </w:rPr>
        <w:t>Tema del corso di formazione.</w:t>
      </w:r>
    </w:p>
    <w:p w:rsidR="004A7E41" w:rsidRPr="004A7E41" w:rsidRDefault="004A7E41" w:rsidP="004A7E41">
      <w:pPr>
        <w:pStyle w:val="Default"/>
      </w:pPr>
    </w:p>
    <w:p w:rsidR="003500D3" w:rsidRDefault="003500D3" w:rsidP="003500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D3">
        <w:rPr>
          <w:rFonts w:ascii="Times New Roman" w:hAnsi="Times New Roman" w:cs="Times New Roman"/>
          <w:sz w:val="24"/>
          <w:szCs w:val="24"/>
        </w:rPr>
        <w:t>The course Innovative Approaches to Teaching is a practical guide which helps to improve quality and effectivity of educational process in any classroom. Encouraging creativity, organising projects, integrating minority pupils or using ICT as a tool for developing critical thinking are examples of the course modules that will broaden your teaching potential and motivate your students.</w:t>
      </w:r>
    </w:p>
    <w:p w:rsidR="00065C05" w:rsidRPr="003500D3" w:rsidRDefault="00065C05" w:rsidP="003500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Work group: Italia, Romania, Macedonia, Grecia, Polonia, Spagna.</w:t>
      </w:r>
    </w:p>
    <w:p w:rsidR="003500D3" w:rsidRPr="003500D3" w:rsidRDefault="00DE2155" w:rsidP="003500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3500D3" w:rsidRDefault="003500D3" w:rsidP="003500D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D3">
        <w:rPr>
          <w:rFonts w:ascii="Times New Roman" w:eastAsia="Calibri" w:hAnsi="Times New Roman" w:cs="Times New Roman"/>
          <w:sz w:val="24"/>
          <w:szCs w:val="24"/>
        </w:rPr>
        <w:t>Nella cultura - nella scuola - si entra con una propria storia e la si costruisce nell’incontro/scontro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D3">
        <w:rPr>
          <w:rFonts w:ascii="Times New Roman" w:eastAsia="Calibri" w:hAnsi="Times New Roman" w:cs="Times New Roman"/>
          <w:sz w:val="24"/>
          <w:szCs w:val="24"/>
        </w:rPr>
        <w:t>con la storia degli altri che la abitano. È, in altri termini, nell’espressione delle visioni educative e delle storie personali su cui si sono costruite le teorie della mente e i linguaggi meta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00D3">
        <w:rPr>
          <w:rFonts w:ascii="Times New Roman" w:eastAsia="Calibri" w:hAnsi="Times New Roman" w:cs="Times New Roman"/>
          <w:sz w:val="24"/>
          <w:szCs w:val="24"/>
        </w:rPr>
        <w:t>cognitivi, che l’accoglienza delle differenze diventa attenzione verso tutto ciò che è altro e dove la cura riposta nei linguaggi per dirsi e capirsi, matura la capacità di interpretare, sospendere, ascoltare e non solo reagire ai conflitti, per qualificare nella scuola il lavoro pedagogico come promozione del benessere, del successo formativo e individuale di ciascuno.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D3">
        <w:rPr>
          <w:rFonts w:ascii="Times New Roman" w:eastAsia="Calibri" w:hAnsi="Times New Roman" w:cs="Times New Roman"/>
          <w:sz w:val="24"/>
          <w:szCs w:val="24"/>
        </w:rPr>
        <w:t>In questa prospettiva e nello sfondo di questa ricerca teorica e operativa, si inserisce</w:t>
      </w:r>
      <w:r w:rsidRPr="003500D3">
        <w:rPr>
          <w:rFonts w:ascii="Times New Roman" w:hAnsi="Times New Roman" w:cs="Times New Roman"/>
          <w:sz w:val="24"/>
          <w:szCs w:val="24"/>
        </w:rPr>
        <w:t xml:space="preserve"> il corso di formazione da me seguito a Praga dal 22 maggio al 26 maggio 2017.</w:t>
      </w:r>
    </w:p>
    <w:p w:rsidR="003500D3" w:rsidRDefault="003500D3" w:rsidP="003500D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il corso s</w:t>
      </w:r>
      <w:r w:rsidRPr="003500D3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è </w:t>
      </w:r>
      <w:r w:rsidRPr="003500D3">
        <w:rPr>
          <w:rFonts w:ascii="Times New Roman" w:eastAsia="Calibri" w:hAnsi="Times New Roman" w:cs="Times New Roman"/>
          <w:sz w:val="24"/>
          <w:szCs w:val="24"/>
        </w:rPr>
        <w:t xml:space="preserve"> fa</w:t>
      </w:r>
      <w:r>
        <w:rPr>
          <w:rFonts w:ascii="Times New Roman" w:hAnsi="Times New Roman" w:cs="Times New Roman"/>
          <w:sz w:val="24"/>
          <w:szCs w:val="24"/>
        </w:rPr>
        <w:t>tto</w:t>
      </w:r>
      <w:r w:rsidRPr="003500D3">
        <w:rPr>
          <w:rFonts w:ascii="Times New Roman" w:eastAsia="Calibri" w:hAnsi="Times New Roman" w:cs="Times New Roman"/>
          <w:sz w:val="24"/>
          <w:szCs w:val="24"/>
        </w:rPr>
        <w:t xml:space="preserve"> riferimento a diverse spinte teoriche e pragmatiche, frutto di un intenso dibattito, che sono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Pr="003500D3">
        <w:rPr>
          <w:rFonts w:ascii="Times New Roman" w:eastAsia="Calibri" w:hAnsi="Times New Roman" w:cs="Times New Roman"/>
          <w:sz w:val="24"/>
          <w:szCs w:val="24"/>
        </w:rPr>
        <w:t xml:space="preserve"> spesso divergenti tra loro, ma tutte rivolte a recuperare la centralità del </w:t>
      </w:r>
      <w:r w:rsidRPr="003500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Soggetto Epistemico </w:t>
      </w:r>
      <w:r w:rsidRPr="003500D3">
        <w:rPr>
          <w:rFonts w:ascii="Times New Roman" w:eastAsia="Calibri" w:hAnsi="Times New Roman" w:cs="Times New Roman"/>
          <w:sz w:val="24"/>
          <w:szCs w:val="24"/>
        </w:rPr>
        <w:t xml:space="preserve">da un lato e  del </w:t>
      </w:r>
      <w:r w:rsidRPr="003500D3">
        <w:rPr>
          <w:rFonts w:ascii="Times New Roman" w:eastAsia="Calibri" w:hAnsi="Times New Roman" w:cs="Times New Roman"/>
          <w:b/>
          <w:bCs/>
          <w:sz w:val="24"/>
          <w:szCs w:val="24"/>
        </w:rPr>
        <w:t>Soggetto in Formazione</w:t>
      </w:r>
      <w:r w:rsidRPr="003500D3">
        <w:rPr>
          <w:rFonts w:ascii="Times New Roman" w:eastAsia="Calibri" w:hAnsi="Times New Roman" w:cs="Times New Roman"/>
          <w:sz w:val="24"/>
          <w:szCs w:val="24"/>
        </w:rPr>
        <w:t xml:space="preserve"> dall’altro</w:t>
      </w:r>
      <w:r w:rsidRPr="003500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3500D3">
        <w:rPr>
          <w:rFonts w:ascii="Times New Roman" w:eastAsia="Calibri" w:hAnsi="Times New Roman" w:cs="Times New Roman"/>
          <w:sz w:val="24"/>
          <w:szCs w:val="24"/>
        </w:rPr>
        <w:t xml:space="preserve">E’ sull’onda di queste spinte innovative, spinte che rientrano nell’alveo del post-strutturalismo, della fenomenologia, del </w:t>
      </w:r>
      <w:r w:rsidRPr="003500D3">
        <w:rPr>
          <w:rFonts w:ascii="Times New Roman" w:eastAsia="Calibri" w:hAnsi="Times New Roman" w:cs="Times New Roman"/>
          <w:sz w:val="24"/>
          <w:szCs w:val="24"/>
        </w:rPr>
        <w:lastRenderedPageBreak/>
        <w:t>personalismo non dogmatico, del problematicismo, dell’ermeneutica, che è</w:t>
      </w:r>
      <w:r>
        <w:rPr>
          <w:rFonts w:ascii="Times New Roman" w:hAnsi="Times New Roman" w:cs="Times New Roman"/>
          <w:sz w:val="24"/>
          <w:szCs w:val="24"/>
        </w:rPr>
        <w:t xml:space="preserve"> stato  possibile individuare le nuove prassi educative e le nuove metodologie.</w:t>
      </w:r>
    </w:p>
    <w:p w:rsidR="003500D3" w:rsidRDefault="003500D3" w:rsidP="003500D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moduli trattati sono stati:</w:t>
      </w:r>
    </w:p>
    <w:p w:rsidR="003500D3" w:rsidRDefault="003500D3" w:rsidP="00350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metodologico teorico.</w:t>
      </w:r>
    </w:p>
    <w:p w:rsidR="003500D3" w:rsidRDefault="003500D3" w:rsidP="00350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Pensiero creativo e pensiero critico.</w:t>
      </w:r>
    </w:p>
    <w:p w:rsidR="003500D3" w:rsidRDefault="003500D3" w:rsidP="00350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Costruzione di un progetto educativo.</w:t>
      </w:r>
    </w:p>
    <w:p w:rsidR="003500D3" w:rsidRDefault="003500D3" w:rsidP="00350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valutazione formativa e sommativa.</w:t>
      </w:r>
    </w:p>
    <w:p w:rsidR="003500D3" w:rsidRDefault="003500D3" w:rsidP="00350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relazioni in classi multiculturali.</w:t>
      </w:r>
    </w:p>
    <w:p w:rsidR="003500D3" w:rsidRDefault="003500D3" w:rsidP="00350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Utilizzo di diversi materiali didattici in classi multiculturali.</w:t>
      </w:r>
    </w:p>
    <w:p w:rsidR="003500D3" w:rsidRDefault="003500D3" w:rsidP="00350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Pensiero meta -cognitivo.</w:t>
      </w:r>
    </w:p>
    <w:p w:rsidR="003500D3" w:rsidRDefault="003500D3" w:rsidP="00350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Sviluppo della creatività</w:t>
      </w:r>
    </w:p>
    <w:p w:rsidR="003500D3" w:rsidRDefault="003500D3" w:rsidP="00DE21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Rubrica e portfolio.</w:t>
      </w:r>
    </w:p>
    <w:p w:rsidR="00DE2155" w:rsidRDefault="00DE2155" w:rsidP="00DE215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questa mia relazione mi piace soffermarmi sulla metodologia meta-cognitiva che a mio avviso (dopo anche un colloquio –dibattito con gli altri corsisti) può avere le seguenti elencazioni:</w:t>
      </w:r>
    </w:p>
    <w:p w:rsidR="00DE2155" w:rsidRPr="00DE2155" w:rsidRDefault="00DE2155" w:rsidP="00DE21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TimesNewRoman" w:eastAsia="Calibri" w:hAnsi="TimesNewRoman" w:cs="TimesNewRoman"/>
        </w:rPr>
      </w:pPr>
      <w:r w:rsidRPr="00DE2155">
        <w:rPr>
          <w:rFonts w:ascii="TimesNewRoman" w:eastAsia="Calibri" w:hAnsi="TimesNewRoman" w:cs="TimesNewRoman"/>
        </w:rPr>
        <w:t>la rievocazione e l’introspezione</w:t>
      </w:r>
    </w:p>
    <w:p w:rsidR="00DE2155" w:rsidRPr="00DE2155" w:rsidRDefault="00DE2155" w:rsidP="00DE21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Calibri" w:hAnsi="TimesNewRoman" w:cs="TimesNewRoman"/>
        </w:rPr>
        <w:t>la retrospezione</w:t>
      </w:r>
    </w:p>
    <w:p w:rsidR="00DE2155" w:rsidRPr="00DE2155" w:rsidRDefault="00DE2155" w:rsidP="00DE21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TimesNewRoman" w:eastAsia="Calibri" w:hAnsi="TimesNewRoman" w:cs="TimesNewRoman"/>
        </w:rPr>
      </w:pPr>
      <w:r w:rsidRPr="00DE2155">
        <w:rPr>
          <w:rFonts w:ascii="TimesNewRoman" w:eastAsia="Calibri" w:hAnsi="TimesNewRoman" w:cs="TimesNewRoman"/>
        </w:rPr>
        <w:t>la problematizzazione</w:t>
      </w:r>
    </w:p>
    <w:p w:rsidR="00DE2155" w:rsidRPr="00DE2155" w:rsidRDefault="00DE2155" w:rsidP="00DE21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Calibri" w:hAnsi="TimesNewRoman" w:cs="TimesNewRoman"/>
        </w:rPr>
        <w:t>la sospensione del giudizio</w:t>
      </w:r>
    </w:p>
    <w:p w:rsidR="00DE2155" w:rsidRDefault="00DE2155" w:rsidP="00DE2155">
      <w:pPr>
        <w:autoSpaceDE w:val="0"/>
        <w:autoSpaceDN w:val="0"/>
        <w:adjustRightInd w:val="0"/>
        <w:spacing w:line="480" w:lineRule="auto"/>
        <w:jc w:val="both"/>
        <w:rPr>
          <w:rFonts w:ascii="TimesNewRoman" w:hAnsi="TimesNewRoman" w:cs="TimesNewRoman"/>
        </w:rPr>
      </w:pPr>
      <w:r>
        <w:rPr>
          <w:rFonts w:ascii="Times New Roman" w:hAnsi="Times New Roman" w:cs="Times New Roman"/>
          <w:sz w:val="24"/>
          <w:szCs w:val="24"/>
        </w:rPr>
        <w:t xml:space="preserve">A mio avviso le seguenti elencazioni possono </w:t>
      </w:r>
      <w:r>
        <w:rPr>
          <w:rFonts w:ascii="TimesNewRoman" w:eastAsia="Calibri" w:hAnsi="TimesNewRoman" w:cs="TimesNewRoman"/>
        </w:rPr>
        <w:t xml:space="preserve">qui </w:t>
      </w:r>
      <w:r>
        <w:rPr>
          <w:rFonts w:ascii="TimesNewRoman" w:hAnsi="TimesNewRoman" w:cs="TimesNewRoman"/>
        </w:rPr>
        <w:t xml:space="preserve"> essere </w:t>
      </w:r>
      <w:r>
        <w:rPr>
          <w:rFonts w:ascii="TimesNewRoman" w:eastAsia="Calibri" w:hAnsi="TimesNewRoman" w:cs="TimesNewRoman"/>
        </w:rPr>
        <w:t>suddivise per ragioni di chiarezza espositiva</w:t>
      </w:r>
      <w:r>
        <w:rPr>
          <w:rFonts w:ascii="TimesNewRoman" w:hAnsi="TimesNewRoman" w:cs="TimesNewRoman"/>
        </w:rPr>
        <w:t xml:space="preserve"> in:</w:t>
      </w:r>
    </w:p>
    <w:p w:rsidR="00DE2155" w:rsidRDefault="00DE2155" w:rsidP="00DE21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E2155">
        <w:rPr>
          <w:rFonts w:ascii="TimesNewRoman,Bold" w:eastAsia="Calibri" w:hAnsi="TimesNewRoman,Bold" w:cs="TimesNewRoman,Bold"/>
          <w:b/>
          <w:bCs/>
        </w:rPr>
        <w:t xml:space="preserve">declinazione cognitivistica: </w:t>
      </w:r>
      <w:r w:rsidRPr="00DE2155">
        <w:rPr>
          <w:rFonts w:ascii="TimesNewRoman" w:eastAsia="Calibri" w:hAnsi="TimesNewRoman" w:cs="TimesNewRoman"/>
        </w:rPr>
        <w:t>volta a rendere i soggetti più consapevoli della loro storia intellettuale e di apprendimento (la storia di "come ho imparato ad imparare).</w:t>
      </w:r>
    </w:p>
    <w:p w:rsidR="00DE2155" w:rsidRPr="00DE2155" w:rsidRDefault="00DE2155" w:rsidP="00DE2155">
      <w:pPr>
        <w:pStyle w:val="Paragrafoelenco"/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</w:p>
    <w:p w:rsidR="00DE2155" w:rsidRPr="00DE2155" w:rsidRDefault="00DE2155" w:rsidP="00DE21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 w:rsidRPr="00DE2155">
        <w:rPr>
          <w:rFonts w:ascii="TimesNewRoman,Bold" w:eastAsia="Calibri" w:hAnsi="TimesNewRoman,Bold" w:cs="TimesNewRoman,Bold"/>
          <w:b/>
          <w:bCs/>
        </w:rPr>
        <w:t xml:space="preserve">declinazione funzionale: </w:t>
      </w:r>
      <w:r w:rsidRPr="00DE2155">
        <w:rPr>
          <w:rFonts w:ascii="TimesNewRoman" w:eastAsia="Calibri" w:hAnsi="TimesNewRoman" w:cs="TimesNewRoman"/>
        </w:rPr>
        <w:t>volta, in situazione d’ascolto e colloquio (ma non solo), a condurre</w:t>
      </w:r>
    </w:p>
    <w:p w:rsidR="00DE2155" w:rsidRDefault="00DE2155" w:rsidP="00DE2155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E2155">
        <w:rPr>
          <w:rFonts w:ascii="TimesNewRoman" w:eastAsia="Calibri" w:hAnsi="TimesNewRoman" w:cs="TimesNewRoman"/>
        </w:rPr>
        <w:t>bilanci sulla situazione di vita, scolastica e sui desideri, gli interessi e le motivazioni con finalità di (auto)orientamento, (ri)orientamento, consulenza, promozione delle risorse, ecc…,</w:t>
      </w:r>
    </w:p>
    <w:p w:rsidR="00DE2155" w:rsidRPr="00DE2155" w:rsidRDefault="00DE2155" w:rsidP="00DE2155">
      <w:pPr>
        <w:pStyle w:val="Paragrafoelenco"/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</w:p>
    <w:p w:rsidR="00DE2155" w:rsidRPr="00DE2155" w:rsidRDefault="00DE2155" w:rsidP="00DE21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 w:rsidRPr="00DE2155">
        <w:rPr>
          <w:rFonts w:ascii="TimesNewRoman,Bold" w:eastAsia="Calibri" w:hAnsi="TimesNewRoman,Bold" w:cs="TimesNewRoman,Bold"/>
          <w:b/>
          <w:bCs/>
        </w:rPr>
        <w:t xml:space="preserve">declinazione relazionale: </w:t>
      </w:r>
      <w:r w:rsidRPr="00DE2155">
        <w:rPr>
          <w:rFonts w:ascii="TimesNewRoman" w:eastAsia="Calibri" w:hAnsi="TimesNewRoman" w:cs="TimesNewRoman"/>
        </w:rPr>
        <w:t>volta ad incrementare competenze relazionali per accogliere,</w:t>
      </w:r>
    </w:p>
    <w:p w:rsidR="00DE2155" w:rsidRDefault="00DE2155" w:rsidP="00DE2155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E2155">
        <w:rPr>
          <w:rFonts w:ascii="TimesNewRoman" w:eastAsia="Calibri" w:hAnsi="TimesNewRoman" w:cs="TimesNewRoman"/>
        </w:rPr>
        <w:lastRenderedPageBreak/>
        <w:t>ascoltare, decodificare il disagio e per sapere gestire i gruppi. La declinazione relazionale sarà volta anche a valorizzare la differenza di genere come luogo specifico della formazione della propria identità.</w:t>
      </w:r>
    </w:p>
    <w:p w:rsidR="00DE2155" w:rsidRPr="00DE2155" w:rsidRDefault="00DE2155" w:rsidP="00DE2155">
      <w:pPr>
        <w:pStyle w:val="Paragrafoelenco"/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</w:p>
    <w:p w:rsidR="00DE2155" w:rsidRPr="00DE2155" w:rsidRDefault="00DE2155" w:rsidP="00DE21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" w:eastAsia="Calibri" w:hAnsi="TimesNewRoman" w:cs="TimesNewRoman"/>
        </w:rPr>
      </w:pPr>
      <w:r>
        <w:rPr>
          <w:rFonts w:ascii="TimesNewRoman,Bold" w:eastAsia="Calibri" w:hAnsi="TimesNewRoman,Bold" w:cs="TimesNewRoman,Bold"/>
          <w:b/>
          <w:bCs/>
        </w:rPr>
        <w:t xml:space="preserve">declinazione sociale: </w:t>
      </w:r>
      <w:r>
        <w:rPr>
          <w:rFonts w:ascii="TimesNewRoman" w:eastAsia="Calibri" w:hAnsi="TimesNewRoman" w:cs="TimesNewRoman"/>
        </w:rPr>
        <w:t>volta a rendere i soggetti protagonisti nella raccolta di storie di vita</w:t>
      </w:r>
      <w:r>
        <w:rPr>
          <w:rFonts w:ascii="TimesNewRoman" w:hAnsi="TimesNewRoman" w:cs="TimesNewRoman"/>
        </w:rPr>
        <w:t xml:space="preserve"> (portfolio e rubrica</w:t>
      </w:r>
      <w:r w:rsidR="00425988">
        <w:rPr>
          <w:rFonts w:ascii="TimesNewRoman" w:hAnsi="TimesNewRoman" w:cs="TimesNewRoman"/>
        </w:rPr>
        <w:t>)</w:t>
      </w:r>
      <w:r>
        <w:rPr>
          <w:rFonts w:ascii="TimesNewRoman" w:hAnsi="TimesNewRoman" w:cs="TimesNewRoman"/>
        </w:rPr>
        <w:t>.</w:t>
      </w:r>
    </w:p>
    <w:p w:rsidR="00DE2155" w:rsidRDefault="00DE2155" w:rsidP="00DE2155">
      <w:pPr>
        <w:pStyle w:val="Paragrafoelenco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E41" w:rsidRDefault="00DE2155" w:rsidP="00DE2155">
      <w:pPr>
        <w:pStyle w:val="Paragrafoelenco"/>
        <w:autoSpaceDE w:val="0"/>
        <w:autoSpaceDN w:val="0"/>
        <w:adjustRightInd w:val="0"/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Come pacchetti software durante il corso abbiamo utilizzato </w:t>
      </w:r>
      <w:r w:rsidR="004A7E4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2155" w:rsidRDefault="00DE2155" w:rsidP="004A7E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Enigma software</w:t>
      </w:r>
    </w:p>
    <w:p w:rsidR="004A7E41" w:rsidRDefault="004A7E41" w:rsidP="004A7E41">
      <w:pPr>
        <w:pStyle w:val="Paragrafoelenco"/>
        <w:numPr>
          <w:ilvl w:val="0"/>
          <w:numId w:val="4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4A7E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BookWright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(come costruire un libro personalizzato).</w:t>
      </w:r>
    </w:p>
    <w:p w:rsidR="004A7E41" w:rsidRDefault="004A7E41" w:rsidP="004A7E41">
      <w:pPr>
        <w:pStyle w:val="Paragrafoelenco"/>
        <w:numPr>
          <w:ilvl w:val="0"/>
          <w:numId w:val="4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Blurb per iPhone e iPad</w:t>
      </w:r>
    </w:p>
    <w:p w:rsidR="004A7E41" w:rsidRDefault="004A7E41" w:rsidP="003E1E91">
      <w:pPr>
        <w:spacing w:before="100" w:beforeAutospacing="1" w:after="100" w:afterAutospacing="1" w:line="48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E1E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Come ultima analisi in questa mia relazione v</w:t>
      </w:r>
      <w:r w:rsidR="003E1E91" w:rsidRPr="003E1E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orrei soffermarmi </w:t>
      </w:r>
      <w:r w:rsidRPr="003E1E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tra le altre argomentazioni ,</w:t>
      </w:r>
      <w:r w:rsidR="003E1E91" w:rsidRPr="003E1E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alla lezione </w:t>
      </w:r>
      <w:r w:rsidRPr="003E1E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rivolta all’utilizzo delle Tassonomie di Bloom.</w:t>
      </w:r>
      <w:r w:rsidR="003E1E91" w:rsidRPr="003E1E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 tal proposito mi faceva piacere ricordare che sebbene le tassonomie di Bloom sono per così dire “in pista didattica ” da  moltissimi anni ,a mio avviso occorre </w:t>
      </w:r>
      <w:r w:rsidR="003E1E91" w:rsidRPr="003E1E91">
        <w:rPr>
          <w:rFonts w:ascii="Times New Roman" w:hAnsi="Times New Roman" w:cs="Times New Roman"/>
          <w:sz w:val="24"/>
          <w:szCs w:val="24"/>
        </w:rPr>
        <w:t xml:space="preserve">ricominciare da Bloom  per fare chiarezza sulla questione centrale dell’apprendimento, incentrata sul significato che diamo a questa parola. Ma ricominciare da Bloom significa anche ripercorrere le </w:t>
      </w:r>
      <w:r w:rsidR="003E1E91" w:rsidRPr="003E1E91">
        <w:rPr>
          <w:rStyle w:val="Enfasigrassetto"/>
          <w:rFonts w:ascii="Times New Roman" w:hAnsi="Times New Roman" w:cs="Times New Roman"/>
          <w:b w:val="0"/>
          <w:sz w:val="24"/>
          <w:szCs w:val="24"/>
        </w:rPr>
        <w:t>metamorfosi</w:t>
      </w:r>
      <w:r w:rsidR="003E1E91" w:rsidRPr="003E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E91" w:rsidRPr="003E1E91">
        <w:rPr>
          <w:rFonts w:ascii="Times New Roman" w:hAnsi="Times New Roman" w:cs="Times New Roman"/>
          <w:sz w:val="24"/>
          <w:szCs w:val="24"/>
        </w:rPr>
        <w:t>di questa tassonomia degli obiettivi dell’educazione e dei modi di concepire e praticare l’apprendimento che si sono susseguiti in questi ultimi 60 anni tenendo presente che:</w:t>
      </w:r>
      <w:r w:rsidR="003E1E91" w:rsidRPr="003E1E91">
        <w:rPr>
          <w:rFonts w:ascii="Times New Roman" w:hAnsi="Times New Roman" w:cs="Times New Roman"/>
          <w:sz w:val="24"/>
          <w:szCs w:val="24"/>
        </w:rPr>
        <w:br/>
      </w:r>
      <w:r w:rsidR="003E1E91">
        <w:rPr>
          <w:rStyle w:val="Enfasigrassetto"/>
          <w:rFonts w:ascii="Times New Roman" w:hAnsi="Times New Roman" w:cs="Times New Roman"/>
          <w:b w:val="0"/>
          <w:sz w:val="24"/>
          <w:szCs w:val="24"/>
        </w:rPr>
        <w:t>1</w:t>
      </w:r>
      <w:r w:rsidR="003E1E91" w:rsidRPr="003E1E91">
        <w:rPr>
          <w:rStyle w:val="Enfasigrassetto"/>
          <w:rFonts w:ascii="Times New Roman" w:hAnsi="Times New Roman" w:cs="Times New Roman"/>
          <w:sz w:val="24"/>
          <w:szCs w:val="24"/>
        </w:rPr>
        <w:t>)</w:t>
      </w:r>
      <w:r w:rsidR="003E1E91" w:rsidRPr="003E1E91">
        <w:rPr>
          <w:rFonts w:ascii="Times New Roman" w:hAnsi="Times New Roman" w:cs="Times New Roman"/>
          <w:sz w:val="24"/>
          <w:szCs w:val="24"/>
        </w:rPr>
        <w:t xml:space="preserve">la comunicazione, condivisione e creazione delle conoscenze costituisce un </w:t>
      </w:r>
      <w:r w:rsidR="003E1E91" w:rsidRPr="003E1E91">
        <w:rPr>
          <w:rStyle w:val="Enfasigrassetto"/>
          <w:rFonts w:ascii="Times New Roman" w:hAnsi="Times New Roman" w:cs="Times New Roman"/>
          <w:b w:val="0"/>
          <w:sz w:val="24"/>
          <w:szCs w:val="24"/>
        </w:rPr>
        <w:t>sistema complesso e aperto</w:t>
      </w:r>
      <w:r w:rsidR="003E1E91" w:rsidRPr="003E1E91">
        <w:rPr>
          <w:rFonts w:ascii="Times New Roman" w:hAnsi="Times New Roman" w:cs="Times New Roman"/>
          <w:sz w:val="24"/>
          <w:szCs w:val="24"/>
        </w:rPr>
        <w:t xml:space="preserve">, quindi l’apprendimento non può essere </w:t>
      </w:r>
      <w:r w:rsidR="003E1E91" w:rsidRPr="003E1E91">
        <w:rPr>
          <w:rFonts w:ascii="Times New Roman" w:hAnsi="Times New Roman" w:cs="Times New Roman"/>
          <w:i/>
          <w:sz w:val="24"/>
          <w:szCs w:val="24"/>
        </w:rPr>
        <w:t>c</w:t>
      </w:r>
      <w:r w:rsidR="003E1E91" w:rsidRPr="003E1E91">
        <w:rPr>
          <w:rStyle w:val="Enfasicorsivo"/>
          <w:rFonts w:ascii="Times New Roman" w:hAnsi="Times New Roman" w:cs="Times New Roman"/>
          <w:i w:val="0"/>
          <w:sz w:val="24"/>
          <w:szCs w:val="24"/>
        </w:rPr>
        <w:t>oncepito e praticato in modo riduzionistico, come un processo lineare e sequenziale</w:t>
      </w:r>
      <w:r w:rsidR="003E1E91" w:rsidRPr="003E1E91">
        <w:rPr>
          <w:rFonts w:ascii="Times New Roman" w:hAnsi="Times New Roman" w:cs="Times New Roman"/>
          <w:sz w:val="24"/>
          <w:szCs w:val="24"/>
        </w:rPr>
        <w:t>;</w:t>
      </w:r>
      <w:r w:rsidR="003E1E91" w:rsidRPr="003E1E91">
        <w:rPr>
          <w:rFonts w:ascii="Times New Roman" w:hAnsi="Times New Roman" w:cs="Times New Roman"/>
          <w:sz w:val="24"/>
          <w:szCs w:val="24"/>
        </w:rPr>
        <w:br/>
        <w:t xml:space="preserve">2)la priorità e la finalità </w:t>
      </w:r>
      <w:r w:rsidR="003E1E91" w:rsidRPr="003E1E91">
        <w:rPr>
          <w:rStyle w:val="Enfasicorsivo"/>
          <w:rFonts w:ascii="Times New Roman" w:hAnsi="Times New Roman" w:cs="Times New Roman"/>
          <w:i w:val="0"/>
          <w:sz w:val="24"/>
          <w:szCs w:val="24"/>
        </w:rPr>
        <w:t>non sono le tecnologie ma l’apprendimento</w:t>
      </w:r>
      <w:r w:rsidR="003E1E91" w:rsidRPr="003E1E91">
        <w:rPr>
          <w:rFonts w:ascii="Times New Roman" w:hAnsi="Times New Roman" w:cs="Times New Roman"/>
          <w:sz w:val="24"/>
          <w:szCs w:val="24"/>
        </w:rPr>
        <w:t>, quindi il problema non è, semplicemente, aprire la scuola alle tecnologie, ma</w:t>
      </w:r>
      <w:r w:rsidR="003E1E91" w:rsidRPr="003E1E91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3E1E91" w:rsidRPr="003E1E91">
        <w:rPr>
          <w:rStyle w:val="Enfasicorsivo"/>
          <w:rFonts w:ascii="Times New Roman" w:hAnsi="Times New Roman" w:cs="Times New Roman"/>
          <w:i w:val="0"/>
          <w:sz w:val="24"/>
          <w:szCs w:val="24"/>
        </w:rPr>
        <w:t>rovare il modo “migliore” di integrare queste nella didattica</w:t>
      </w:r>
      <w:r w:rsidR="003E1E91" w:rsidRPr="003E1E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E1E91" w:rsidRPr="003E1E91">
        <w:rPr>
          <w:rFonts w:ascii="Times New Roman" w:hAnsi="Times New Roman" w:cs="Times New Roman"/>
          <w:sz w:val="24"/>
          <w:szCs w:val="24"/>
        </w:rPr>
        <w:t>Il</w:t>
      </w:r>
      <w:r w:rsidR="003E1E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E91" w:rsidRPr="003E1E91">
        <w:rPr>
          <w:rFonts w:ascii="Times New Roman" w:hAnsi="Times New Roman" w:cs="Times New Roman"/>
          <w:sz w:val="24"/>
          <w:szCs w:val="24"/>
        </w:rPr>
        <w:t xml:space="preserve"> fine è l’</w:t>
      </w:r>
      <w:r w:rsidR="003E1E91" w:rsidRPr="003E1E91">
        <w:rPr>
          <w:rStyle w:val="Enfasigrassetto"/>
          <w:rFonts w:ascii="Times New Roman" w:hAnsi="Times New Roman" w:cs="Times New Roman"/>
          <w:b w:val="0"/>
          <w:sz w:val="24"/>
          <w:szCs w:val="24"/>
        </w:rPr>
        <w:t>apprendimento</w:t>
      </w:r>
      <w:r w:rsidR="003E1E91" w:rsidRPr="003E1E91">
        <w:rPr>
          <w:rFonts w:ascii="Times New Roman" w:hAnsi="Times New Roman" w:cs="Times New Roman"/>
          <w:sz w:val="24"/>
          <w:szCs w:val="24"/>
        </w:rPr>
        <w:t xml:space="preserve"> non le tecnologie.</w:t>
      </w:r>
    </w:p>
    <w:p w:rsidR="003E1E91" w:rsidRPr="003E1E91" w:rsidRDefault="003E1E91" w:rsidP="003E1E91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Adele Grassito</w:t>
      </w:r>
    </w:p>
    <w:p w:rsidR="003E1E91" w:rsidRPr="003E1E91" w:rsidRDefault="003E1E91" w:rsidP="003E1E91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A7E41" w:rsidRPr="003E1E91" w:rsidRDefault="004A7E41" w:rsidP="003E1E91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A7E41" w:rsidRPr="003E1E91" w:rsidRDefault="004A7E41" w:rsidP="003E1E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A7E41" w:rsidRPr="004A7E41" w:rsidRDefault="004A7E41" w:rsidP="004A7E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A7E41" w:rsidRPr="004A7E41" w:rsidRDefault="004A7E41" w:rsidP="004A7E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A7E41" w:rsidRPr="00DE2155" w:rsidRDefault="004A7E41" w:rsidP="004A7E41">
      <w:pPr>
        <w:pStyle w:val="Paragrafoelenco"/>
        <w:autoSpaceDE w:val="0"/>
        <w:autoSpaceDN w:val="0"/>
        <w:adjustRightInd w:val="0"/>
        <w:spacing w:line="48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0D3" w:rsidRPr="003500D3" w:rsidRDefault="003500D3" w:rsidP="003500D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0D3" w:rsidRPr="003500D3" w:rsidRDefault="003500D3" w:rsidP="003500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0D3" w:rsidRPr="003500D3" w:rsidRDefault="003500D3" w:rsidP="003500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00D3" w:rsidRPr="003500D3" w:rsidSect="001A3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823"/>
    <w:multiLevelType w:val="hybridMultilevel"/>
    <w:tmpl w:val="76BC8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3EB1"/>
    <w:multiLevelType w:val="hybridMultilevel"/>
    <w:tmpl w:val="ADF03D8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404DA"/>
    <w:multiLevelType w:val="hybridMultilevel"/>
    <w:tmpl w:val="7958AE4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E5483"/>
    <w:multiLevelType w:val="hybridMultilevel"/>
    <w:tmpl w:val="BB0E9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500D3"/>
    <w:rsid w:val="00065C05"/>
    <w:rsid w:val="001A3B71"/>
    <w:rsid w:val="003500D3"/>
    <w:rsid w:val="003E1E91"/>
    <w:rsid w:val="00425988"/>
    <w:rsid w:val="004A7E41"/>
    <w:rsid w:val="0054486E"/>
    <w:rsid w:val="005D5C2A"/>
    <w:rsid w:val="008F274A"/>
    <w:rsid w:val="009B2F5E"/>
    <w:rsid w:val="00DE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B71"/>
  </w:style>
  <w:style w:type="paragraph" w:styleId="Titolo3">
    <w:name w:val="heading 3"/>
    <w:basedOn w:val="Normale"/>
    <w:link w:val="Titolo3Carattere"/>
    <w:uiPriority w:val="9"/>
    <w:qFormat/>
    <w:rsid w:val="004A7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00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00D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4A7E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3E1E91"/>
    <w:rPr>
      <w:b/>
      <w:bCs/>
    </w:rPr>
  </w:style>
  <w:style w:type="character" w:styleId="Enfasicorsivo">
    <w:name w:val="Emphasis"/>
    <w:basedOn w:val="Carpredefinitoparagrafo"/>
    <w:uiPriority w:val="20"/>
    <w:qFormat/>
    <w:rsid w:val="003E1E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2</cp:revision>
  <dcterms:created xsi:type="dcterms:W3CDTF">2017-06-08T13:05:00Z</dcterms:created>
  <dcterms:modified xsi:type="dcterms:W3CDTF">2017-06-08T13:05:00Z</dcterms:modified>
</cp:coreProperties>
</file>